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86F" w:rsidRPr="00347173" w:rsidRDefault="004A786F" w:rsidP="004A786F">
      <w:pPr>
        <w:spacing w:before="100" w:beforeAutospacing="1" w:after="100" w:afterAutospacing="1" w:line="240" w:lineRule="auto"/>
        <w:jc w:val="center"/>
        <w:outlineLvl w:val="0"/>
        <w:rPr>
          <w:rFonts w:asciiTheme="majorBidi" w:eastAsia="Times New Roman" w:hAnsiTheme="majorBidi" w:cstheme="majorBidi"/>
          <w:b/>
          <w:bCs/>
          <w:color w:val="D85F05"/>
          <w:kern w:val="36"/>
          <w:sz w:val="28"/>
          <w:szCs w:val="28"/>
        </w:rPr>
      </w:pPr>
      <w:bookmarkStart w:id="0" w:name="app5"/>
      <w:r w:rsidRPr="00347173">
        <w:rPr>
          <w:rFonts w:asciiTheme="majorBidi" w:eastAsia="Times New Roman" w:hAnsiTheme="majorBidi" w:cstheme="majorBidi"/>
          <w:b/>
          <w:bCs/>
          <w:color w:val="D85F05"/>
          <w:kern w:val="36"/>
          <w:sz w:val="28"/>
          <w:szCs w:val="28"/>
          <w:u w:val="single"/>
        </w:rPr>
        <w:t>APPENDIX 5</w:t>
      </w:r>
      <w:r w:rsidRPr="00347173">
        <w:rPr>
          <w:rFonts w:asciiTheme="majorBidi" w:eastAsia="Times New Roman" w:hAnsiTheme="majorBidi" w:cstheme="majorBidi"/>
          <w:b/>
          <w:bCs/>
          <w:color w:val="D85F05"/>
          <w:kern w:val="36"/>
          <w:sz w:val="28"/>
          <w:szCs w:val="28"/>
          <w:u w:val="single"/>
        </w:rPr>
        <w:br/>
        <w:t>LOGISTICS OF COLLECTING 200 KG OF PINUS CARIBAEA SEED</w:t>
      </w:r>
      <w:bookmarkEnd w:id="0"/>
    </w:p>
    <w:p w:rsidR="004A786F" w:rsidRPr="00347173" w:rsidRDefault="004A786F" w:rsidP="004A786F">
      <w:pPr>
        <w:spacing w:before="100" w:beforeAutospacing="1" w:after="100" w:afterAutospacing="1" w:line="240" w:lineRule="auto"/>
        <w:jc w:val="center"/>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(contributed by A.M.J. Robbins)</w:t>
      </w:r>
    </w:p>
    <w:p w:rsidR="004A786F" w:rsidRPr="00347173" w:rsidRDefault="004A786F" w:rsidP="004A786F">
      <w:pPr>
        <w:spacing w:before="100" w:beforeAutospacing="1" w:after="100" w:afterAutospacing="1"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The following example illustrates the importance of proper planning of a seed collection so as to ensure an adequate amount of transport, personnel and equipment. Basic data is estimated for Honduran conditions (see notes at end). It is assumed that seed is collected from routine plantations with climbers and temporary storage facilities of cones based nearby, all processing being done in a central seed processing depot. Sack size is assumed to be 100 litres.</w:t>
      </w:r>
    </w:p>
    <w:tbl>
      <w:tblPr>
        <w:tblW w:w="4500" w:type="pct"/>
        <w:jc w:val="center"/>
        <w:tblCellSpacing w:w="0" w:type="dxa"/>
        <w:tblCellMar>
          <w:top w:w="45" w:type="dxa"/>
          <w:left w:w="45" w:type="dxa"/>
          <w:bottom w:w="45" w:type="dxa"/>
          <w:right w:w="45" w:type="dxa"/>
        </w:tblCellMar>
        <w:tblLook w:val="04A0"/>
      </w:tblPr>
      <w:tblGrid>
        <w:gridCol w:w="2253"/>
        <w:gridCol w:w="440"/>
        <w:gridCol w:w="3226"/>
        <w:gridCol w:w="251"/>
        <w:gridCol w:w="2335"/>
      </w:tblGrid>
      <w:tr w:rsidR="004A786F" w:rsidRPr="00347173">
        <w:trPr>
          <w:tblCellSpacing w:w="0" w:type="dxa"/>
          <w:jc w:val="center"/>
        </w:trPr>
        <w:tc>
          <w:tcPr>
            <w:tcW w:w="1000" w:type="pct"/>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BASIC DATA</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Yield of cones per average seed tree (volume)</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33 litres (⅓ sack)</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Yield of pure seed from cones (wt. per volume)</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 kg/400 litres</w:t>
            </w:r>
            <w:r w:rsidRPr="00347173">
              <w:rPr>
                <w:rFonts w:asciiTheme="majorBidi" w:eastAsia="Times New Roman" w:hAnsiTheme="majorBidi" w:cstheme="majorBidi"/>
                <w:sz w:val="28"/>
                <w:szCs w:val="28"/>
              </w:rPr>
              <w:br/>
              <w:t>(4 sacks)</w:t>
            </w:r>
            <w:r w:rsidRPr="00347173">
              <w:rPr>
                <w:rFonts w:asciiTheme="majorBidi" w:eastAsia="Times New Roman" w:hAnsiTheme="majorBidi" w:cstheme="majorBidi"/>
                <w:sz w:val="28"/>
                <w:szCs w:val="28"/>
              </w:rPr>
              <w:br/>
              <w:t>(250 g/100 litres)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3.</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Climbing rate per climber</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5 trees/day</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4.</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Maximum duration of collecting season</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 xml:space="preserve">2 months, equivalent to </w:t>
            </w:r>
            <w:r w:rsidRPr="00347173">
              <w:rPr>
                <w:rFonts w:asciiTheme="majorBidi" w:eastAsia="Times New Roman" w:hAnsiTheme="majorBidi" w:cstheme="majorBidi"/>
                <w:sz w:val="28"/>
                <w:szCs w:val="28"/>
                <w:u w:val="single"/>
              </w:rPr>
              <w:t>40 collecting days</w:t>
            </w:r>
            <w:r w:rsidRPr="00347173">
              <w:rPr>
                <w:rFonts w:asciiTheme="majorBidi" w:eastAsia="Times New Roman" w:hAnsiTheme="majorBidi" w:cstheme="majorBidi"/>
                <w:sz w:val="28"/>
                <w:szCs w:val="28"/>
              </w:rPr>
              <w:t xml:space="preserve"> (eg 60 days less 16 (weekends) + 4 rainy days).</w:t>
            </w:r>
          </w:p>
        </w:tc>
      </w:tr>
      <w:tr w:rsidR="004A786F" w:rsidRPr="00347173">
        <w:trPr>
          <w:tblCellSpacing w:w="0" w:type="dxa"/>
          <w:jc w:val="center"/>
        </w:trPr>
        <w:tc>
          <w:tcPr>
            <w:tcW w:w="0" w:type="auto"/>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TOTAL AMOUNTS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5.</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Total wt. of seed to be collected</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200 kg</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6.</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Total volume of cones to be collected (2) × (5)</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80,000 litres (800 sacks)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7.</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Total number of seed trees to be climbed (6) ÷ (1)</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2,400 trees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8.</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Total number of climber-days (7) ÷ (3)</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480 man-days</w:t>
            </w:r>
          </w:p>
        </w:tc>
      </w:tr>
      <w:tr w:rsidR="004A786F" w:rsidRPr="00347173">
        <w:trPr>
          <w:tblCellSpacing w:w="0" w:type="dxa"/>
          <w:jc w:val="center"/>
        </w:trPr>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CLIMBER REQUIREMENTS</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9.</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Minimum no. of climbers per day. (8) ÷ (4)</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12 climbers (inc. assistants = 24 collectors).</w:t>
            </w:r>
          </w:p>
        </w:tc>
      </w:tr>
      <w:tr w:rsidR="004A786F" w:rsidRPr="00347173">
        <w:trPr>
          <w:tblCellSpacing w:w="0" w:type="dxa"/>
          <w:jc w:val="center"/>
        </w:trPr>
        <w:tc>
          <w:tcPr>
            <w:tcW w:w="0" w:type="auto"/>
            <w:vMerge w:val="restart"/>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RATE OF SACK COLLECTION</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10.</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Rate of sack collection per day. (9) × (1) × (3)</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20 sacks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11.</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Ditto, per week (10) × 5 days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100 sacks approx.</w:t>
            </w:r>
          </w:p>
        </w:tc>
      </w:tr>
      <w:tr w:rsidR="004A786F" w:rsidRPr="00347173">
        <w:trPr>
          <w:tblCellSpacing w:w="0" w:type="dxa"/>
          <w:jc w:val="center"/>
        </w:trPr>
        <w:tc>
          <w:tcPr>
            <w:tcW w:w="0" w:type="auto"/>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TRANSPORT REQUIREMENTS</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12.</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Daily transport of collectors to site, + sacks on return. Must be adequate for 24 climbers, + supervisors + 20 sacks</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3 small pickups or 2 large pickups daily</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13.</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Periodic transport of cones to seed processing depot for drying, extraction, cleaning etc. If temporary storage adequate, weekly transport would suffice.</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 small lorry (100 sack load), one day a week.</w:t>
            </w:r>
          </w:p>
        </w:tc>
      </w:tr>
      <w:tr w:rsidR="004A786F" w:rsidRPr="00347173">
        <w:trPr>
          <w:tblCellSpacing w:w="0" w:type="dxa"/>
          <w:jc w:val="center"/>
        </w:trPr>
        <w:tc>
          <w:tcPr>
            <w:tcW w:w="0" w:type="auto"/>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BASIC COLLECTION EQUIPMENT REQUIREMENTS</w:t>
            </w:r>
          </w:p>
        </w:tc>
        <w:tc>
          <w:tcPr>
            <w:tcW w:w="0" w:type="auto"/>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14.</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Spurs, safety belts, ropes etc.</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12 sets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Safety hats (all personnel).</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24</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Cutters and handles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12</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Sacks (2 week turn around) Labels, string, etc., as required.</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200</w:t>
            </w:r>
          </w:p>
        </w:tc>
      </w:tr>
      <w:tr w:rsidR="004A786F" w:rsidRPr="00347173">
        <w:trPr>
          <w:tblCellSpacing w:w="0" w:type="dxa"/>
          <w:jc w:val="center"/>
        </w:trPr>
        <w:tc>
          <w:tcPr>
            <w:tcW w:w="0" w:type="auto"/>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PROCESSING REQUIREMENTS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15.</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Time required to sun dry cones and extract seed</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4 days (allowing for inclement weather)</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16.</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Capacity of drying facilities to keep up with supply (11) × (15) ÷ 5 days</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80 sacks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17.</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No. of tarpaulins required, 10 × 5 m. 16 sacks capacity</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4 tarpaulins</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18.</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No. of postmaturing storage bins (60 sack capacity)</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 storage bins</w:t>
            </w:r>
          </w:p>
        </w:tc>
      </w:tr>
      <w:tr w:rsidR="004A786F" w:rsidRPr="00347173">
        <w:trPr>
          <w:tblCellSpacing w:w="0" w:type="dxa"/>
          <w:jc w:val="center"/>
        </w:trPr>
        <w:tc>
          <w:tcPr>
            <w:tcW w:w="0" w:type="auto"/>
            <w:vMerge w:val="restart"/>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AREA TO BE SEARCHED FOR SEED TREES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 </w:t>
            </w:r>
          </w:p>
        </w:tc>
        <w:tc>
          <w:tcPr>
            <w:tcW w:w="0" w:type="auto"/>
            <w:gridSpan w:val="3"/>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If the collection is a routine bulk collection from standard plantations, using mainly roadside trees, the following might approximate the area to be searched:</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19.</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No. of seed trees per ha</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5 (estimated)</w:t>
            </w:r>
          </w:p>
        </w:tc>
      </w:tr>
      <w:tr w:rsidR="004A786F" w:rsidRPr="00347173">
        <w:trPr>
          <w:tblCellSpacing w:w="0" w:type="dxa"/>
          <w:jc w:val="center"/>
        </w:trPr>
        <w:tc>
          <w:tcPr>
            <w:tcW w:w="0" w:type="auto"/>
            <w:vMerge/>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20.</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Total area to be searched (7) ÷ (19)</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480 ha</w:t>
            </w:r>
          </w:p>
        </w:tc>
      </w:tr>
      <w:tr w:rsidR="004A786F" w:rsidRPr="00347173">
        <w:trPr>
          <w:tblCellSpacing w:w="0" w:type="dxa"/>
          <w:jc w:val="center"/>
        </w:trPr>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ORGANIZATION OF COLLECTORS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 </w:t>
            </w:r>
          </w:p>
        </w:tc>
        <w:tc>
          <w:tcPr>
            <w:tcW w:w="0" w:type="auto"/>
            <w:gridSpan w:val="3"/>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The size of the collection brigades will depend on the number of vehicles available. In this example either 3 brigades of 4 climbers + 4 assistants each, or 2 brigades of 6 climbers + 6 assistants each can be transported. Each brigade can work in different areas according to crop density and time of maturity.</w:t>
            </w:r>
          </w:p>
        </w:tc>
      </w:tr>
      <w:tr w:rsidR="004A786F" w:rsidRPr="00347173">
        <w:trPr>
          <w:tblCellSpacing w:w="0" w:type="dxa"/>
          <w:jc w:val="center"/>
        </w:trPr>
        <w:tc>
          <w:tcPr>
            <w:tcW w:w="0" w:type="auto"/>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NOTES:</w:t>
            </w:r>
          </w:p>
        </w:tc>
        <w:tc>
          <w:tcPr>
            <w:tcW w:w="0" w:type="auto"/>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 </w:t>
            </w:r>
          </w:p>
        </w:tc>
        <w:tc>
          <w:tcPr>
            <w:tcW w:w="0" w:type="auto"/>
            <w:gridSpan w:val="3"/>
            <w:vAlign w:val="center"/>
            <w:hideMark/>
          </w:tcPr>
          <w:p w:rsidR="004A786F" w:rsidRPr="00347173" w:rsidRDefault="004A786F"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t>Small changes in the basic data will have a large effect on labour, transport, and equipment requirements. The data given is typical for Honduran conditions, but may be different for other countries. If, for example, the yield of cones per average seed tree was up to 50 litres (instead of 33) = 1/2 sack or 500 cones, and yield of seed was up to 1 kg from 3 sacks (instead of 4), then only 600 sacks would have to be collected, equivalent to 1200 seed trees, or 240 mandays. Thus one could halve the number of collectors required, if they collect over the same no. of days, or retain the same number, and collect in half the time.</w:t>
            </w:r>
          </w:p>
        </w:tc>
      </w:tr>
    </w:tbl>
    <w:p w:rsidR="004A786F" w:rsidRPr="00347173" w:rsidRDefault="004A786F" w:rsidP="004A786F">
      <w:pPr>
        <w:spacing w:after="0" w:line="240" w:lineRule="auto"/>
        <w:rPr>
          <w:rFonts w:asciiTheme="majorBidi" w:eastAsia="Times New Roman" w:hAnsiTheme="majorBidi" w:cstheme="majorBidi"/>
          <w:sz w:val="28"/>
          <w:szCs w:val="28"/>
        </w:rPr>
      </w:pPr>
    </w:p>
    <w:p w:rsidR="004A786F" w:rsidRPr="00347173" w:rsidRDefault="00E24704" w:rsidP="004A786F">
      <w:pPr>
        <w:spacing w:after="0" w:line="240" w:lineRule="auto"/>
        <w:rPr>
          <w:rFonts w:asciiTheme="majorBidi" w:eastAsia="Times New Roman" w:hAnsiTheme="majorBidi" w:cstheme="majorBidi"/>
          <w:sz w:val="28"/>
          <w:szCs w:val="28"/>
        </w:rPr>
      </w:pPr>
      <w:r w:rsidRPr="00347173">
        <w:rPr>
          <w:rFonts w:asciiTheme="majorBidi" w:eastAsia="Times New Roman" w:hAnsiTheme="majorBidi" w:cstheme="majorBidi"/>
          <w:sz w:val="28"/>
          <w:szCs w:val="28"/>
        </w:rPr>
        <w:pict>
          <v:rect id="_x0000_i1025" style="width:0;height:1.5pt" o:hralign="center" o:hrstd="t" o:hr="t" fillcolor="#a7a6aa" stroked="f"/>
        </w:pict>
      </w:r>
    </w:p>
    <w:p w:rsidR="004A786F" w:rsidRPr="00347173" w:rsidRDefault="004A786F" w:rsidP="004A786F">
      <w:pPr>
        <w:spacing w:before="100" w:beforeAutospacing="1" w:after="100" w:afterAutospacing="1" w:line="240" w:lineRule="auto"/>
        <w:jc w:val="center"/>
        <w:rPr>
          <w:rFonts w:asciiTheme="majorBidi" w:eastAsia="Times New Roman" w:hAnsiTheme="majorBidi" w:cstheme="majorBidi"/>
          <w:sz w:val="28"/>
          <w:szCs w:val="28"/>
        </w:rPr>
      </w:pPr>
      <w:r w:rsidRPr="00347173">
        <w:rPr>
          <w:rFonts w:asciiTheme="majorBidi" w:eastAsia="Times New Roman" w:hAnsiTheme="majorBidi" w:cstheme="majorBidi"/>
          <w:noProof/>
          <w:color w:val="0000FF"/>
          <w:sz w:val="28"/>
          <w:szCs w:val="28"/>
        </w:rPr>
        <w:drawing>
          <wp:inline distT="0" distB="0" distL="0" distR="0">
            <wp:extent cx="411480" cy="331470"/>
            <wp:effectExtent l="19050" t="0" r="7620" b="0"/>
            <wp:docPr id="6" name="Picture 6" descr="Previous Page">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revious Page">
                      <a:hlinkClick r:id="rId6"/>
                    </pic:cNvPr>
                    <pic:cNvPicPr>
                      <a:picLocks noChangeAspect="1" noChangeArrowheads="1"/>
                    </pic:cNvPicPr>
                  </pic:nvPicPr>
                  <pic:blipFill>
                    <a:blip r:embed="rId7"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r w:rsidRPr="00347173">
        <w:rPr>
          <w:rFonts w:asciiTheme="majorBidi" w:eastAsia="Times New Roman" w:hAnsiTheme="majorBidi" w:cstheme="majorBidi"/>
          <w:noProof/>
          <w:color w:val="0000FF"/>
          <w:sz w:val="28"/>
          <w:szCs w:val="28"/>
        </w:rPr>
        <w:drawing>
          <wp:inline distT="0" distB="0" distL="0" distR="0">
            <wp:extent cx="411480" cy="331470"/>
            <wp:effectExtent l="19050" t="0" r="7620" b="0"/>
            <wp:docPr id="7" name="Picture 7" descr="Top of P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op of Page">
                      <a:hlinkClick r:id="rId8"/>
                    </pic:cNvPr>
                    <pic:cNvPicPr>
                      <a:picLocks noChangeAspect="1" noChangeArrowheads="1"/>
                    </pic:cNvPicPr>
                  </pic:nvPicPr>
                  <pic:blipFill>
                    <a:blip r:embed="rId9"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r w:rsidRPr="00347173">
        <w:rPr>
          <w:rFonts w:asciiTheme="majorBidi" w:eastAsia="Times New Roman" w:hAnsiTheme="majorBidi" w:cstheme="majorBidi"/>
          <w:noProof/>
          <w:color w:val="0000FF"/>
          <w:sz w:val="28"/>
          <w:szCs w:val="28"/>
        </w:rPr>
        <w:drawing>
          <wp:inline distT="0" distB="0" distL="0" distR="0">
            <wp:extent cx="411480" cy="331470"/>
            <wp:effectExtent l="19050" t="0" r="7620" b="0"/>
            <wp:docPr id="8" name="Picture 8" descr="Next Pag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ext Page">
                      <a:hlinkClick r:id="rId10"/>
                    </pic:cNvPr>
                    <pic:cNvPicPr>
                      <a:picLocks noChangeAspect="1" noChangeArrowheads="1"/>
                    </pic:cNvPicPr>
                  </pic:nvPicPr>
                  <pic:blipFill>
                    <a:blip r:embed="rId11" cstate="print"/>
                    <a:srcRect/>
                    <a:stretch>
                      <a:fillRect/>
                    </a:stretch>
                  </pic:blipFill>
                  <pic:spPr bwMode="auto">
                    <a:xfrm>
                      <a:off x="0" y="0"/>
                      <a:ext cx="411480" cy="331470"/>
                    </a:xfrm>
                    <a:prstGeom prst="rect">
                      <a:avLst/>
                    </a:prstGeom>
                    <a:noFill/>
                    <a:ln w="9525">
                      <a:noFill/>
                      <a:miter lim="800000"/>
                      <a:headEnd/>
                      <a:tailEnd/>
                    </a:ln>
                  </pic:spPr>
                </pic:pic>
              </a:graphicData>
            </a:graphic>
          </wp:inline>
        </w:drawing>
      </w:r>
    </w:p>
    <w:p w:rsidR="004D261E" w:rsidRPr="00347173" w:rsidRDefault="004D261E" w:rsidP="004A786F">
      <w:pPr>
        <w:rPr>
          <w:rFonts w:asciiTheme="majorBidi" w:hAnsiTheme="majorBidi" w:cstheme="majorBidi"/>
          <w:sz w:val="28"/>
          <w:szCs w:val="28"/>
        </w:rPr>
      </w:pPr>
    </w:p>
    <w:sectPr w:rsidR="004D261E" w:rsidRPr="00347173" w:rsidSect="004D261E">
      <w:footerReference w:type="default" r:id="rId12"/>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7501" w:rsidRDefault="001A7501" w:rsidP="00347173">
      <w:pPr>
        <w:spacing w:after="0" w:line="240" w:lineRule="auto"/>
      </w:pPr>
      <w:r>
        <w:separator/>
      </w:r>
    </w:p>
  </w:endnote>
  <w:endnote w:type="continuationSeparator" w:id="0">
    <w:p w:rsidR="001A7501" w:rsidRDefault="001A7501" w:rsidP="0034717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21063"/>
      <w:docPartObj>
        <w:docPartGallery w:val="Page Numbers (Bottom of Page)"/>
        <w:docPartUnique/>
      </w:docPartObj>
    </w:sdtPr>
    <w:sdtContent>
      <w:p w:rsidR="00347173" w:rsidRDefault="00347173">
        <w:pPr>
          <w:pStyle w:val="Footer"/>
          <w:jc w:val="center"/>
        </w:pPr>
        <w:fldSimple w:instr=" PAGE   \* MERGEFORMAT ">
          <w:r>
            <w:rPr>
              <w:noProof/>
            </w:rPr>
            <w:t>3</w:t>
          </w:r>
        </w:fldSimple>
      </w:p>
    </w:sdtContent>
  </w:sdt>
  <w:p w:rsidR="00347173" w:rsidRDefault="0034717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7501" w:rsidRDefault="001A7501" w:rsidP="00347173">
      <w:pPr>
        <w:spacing w:after="0" w:line="240" w:lineRule="auto"/>
      </w:pPr>
      <w:r>
        <w:separator/>
      </w:r>
    </w:p>
  </w:footnote>
  <w:footnote w:type="continuationSeparator" w:id="0">
    <w:p w:rsidR="001A7501" w:rsidRDefault="001A7501" w:rsidP="0034717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defaultTabStop w:val="720"/>
  <w:characterSpacingControl w:val="doNotCompress"/>
  <w:footnotePr>
    <w:footnote w:id="-1"/>
    <w:footnote w:id="0"/>
  </w:footnotePr>
  <w:endnotePr>
    <w:endnote w:id="-1"/>
    <w:endnote w:id="0"/>
  </w:endnotePr>
  <w:compat/>
  <w:rsids>
    <w:rsidRoot w:val="004A786F"/>
    <w:rsid w:val="00000DD5"/>
    <w:rsid w:val="000157CC"/>
    <w:rsid w:val="00027E2B"/>
    <w:rsid w:val="000322CF"/>
    <w:rsid w:val="00036ABD"/>
    <w:rsid w:val="00044D59"/>
    <w:rsid w:val="000460D3"/>
    <w:rsid w:val="00055DE4"/>
    <w:rsid w:val="00061800"/>
    <w:rsid w:val="00062783"/>
    <w:rsid w:val="0007365C"/>
    <w:rsid w:val="00077EF4"/>
    <w:rsid w:val="0009139D"/>
    <w:rsid w:val="000A451F"/>
    <w:rsid w:val="000A65F2"/>
    <w:rsid w:val="000B3067"/>
    <w:rsid w:val="000B42C0"/>
    <w:rsid w:val="000B6AFD"/>
    <w:rsid w:val="000D1DE2"/>
    <w:rsid w:val="000D631D"/>
    <w:rsid w:val="00103FF4"/>
    <w:rsid w:val="001138FA"/>
    <w:rsid w:val="00126CC7"/>
    <w:rsid w:val="001314C5"/>
    <w:rsid w:val="001400F7"/>
    <w:rsid w:val="00155FA5"/>
    <w:rsid w:val="00160662"/>
    <w:rsid w:val="00171D0E"/>
    <w:rsid w:val="00171EEB"/>
    <w:rsid w:val="00173461"/>
    <w:rsid w:val="00173609"/>
    <w:rsid w:val="00174FE5"/>
    <w:rsid w:val="00184A5A"/>
    <w:rsid w:val="00184D85"/>
    <w:rsid w:val="00186BEC"/>
    <w:rsid w:val="00192A78"/>
    <w:rsid w:val="00192F24"/>
    <w:rsid w:val="001A7501"/>
    <w:rsid w:val="001B2177"/>
    <w:rsid w:val="001B40BA"/>
    <w:rsid w:val="001B5458"/>
    <w:rsid w:val="001D2AAE"/>
    <w:rsid w:val="001E2E07"/>
    <w:rsid w:val="001E669B"/>
    <w:rsid w:val="00201ED7"/>
    <w:rsid w:val="0020453A"/>
    <w:rsid w:val="00204E12"/>
    <w:rsid w:val="00231C40"/>
    <w:rsid w:val="00235B8D"/>
    <w:rsid w:val="0026399A"/>
    <w:rsid w:val="0026413A"/>
    <w:rsid w:val="00273D39"/>
    <w:rsid w:val="00277A27"/>
    <w:rsid w:val="00280753"/>
    <w:rsid w:val="00292F88"/>
    <w:rsid w:val="00293179"/>
    <w:rsid w:val="002A3DCE"/>
    <w:rsid w:val="002A472C"/>
    <w:rsid w:val="002A5D6F"/>
    <w:rsid w:val="002A7408"/>
    <w:rsid w:val="002B3232"/>
    <w:rsid w:val="002B3240"/>
    <w:rsid w:val="002B356C"/>
    <w:rsid w:val="002C47E9"/>
    <w:rsid w:val="002F0EB6"/>
    <w:rsid w:val="002F0F27"/>
    <w:rsid w:val="002F286B"/>
    <w:rsid w:val="00305EED"/>
    <w:rsid w:val="00310A2A"/>
    <w:rsid w:val="0032240B"/>
    <w:rsid w:val="00326256"/>
    <w:rsid w:val="0033127B"/>
    <w:rsid w:val="00347173"/>
    <w:rsid w:val="00357D82"/>
    <w:rsid w:val="003763EE"/>
    <w:rsid w:val="003812C4"/>
    <w:rsid w:val="00383C37"/>
    <w:rsid w:val="003954DF"/>
    <w:rsid w:val="003A14BB"/>
    <w:rsid w:val="003A543E"/>
    <w:rsid w:val="003B1FAF"/>
    <w:rsid w:val="003C75B6"/>
    <w:rsid w:val="003C7D03"/>
    <w:rsid w:val="003D194C"/>
    <w:rsid w:val="003D4E30"/>
    <w:rsid w:val="003E0E32"/>
    <w:rsid w:val="003F5FB3"/>
    <w:rsid w:val="003F6FE3"/>
    <w:rsid w:val="004103BF"/>
    <w:rsid w:val="00425F96"/>
    <w:rsid w:val="00427EBC"/>
    <w:rsid w:val="004421AD"/>
    <w:rsid w:val="00447D55"/>
    <w:rsid w:val="00473097"/>
    <w:rsid w:val="00475C42"/>
    <w:rsid w:val="00482433"/>
    <w:rsid w:val="004841A5"/>
    <w:rsid w:val="00485DB4"/>
    <w:rsid w:val="00491342"/>
    <w:rsid w:val="004A786F"/>
    <w:rsid w:val="004C120D"/>
    <w:rsid w:val="004D261E"/>
    <w:rsid w:val="004E0BD9"/>
    <w:rsid w:val="004E6DCC"/>
    <w:rsid w:val="004F0430"/>
    <w:rsid w:val="004F1EF2"/>
    <w:rsid w:val="00501FF4"/>
    <w:rsid w:val="005030D3"/>
    <w:rsid w:val="005032E7"/>
    <w:rsid w:val="005035BE"/>
    <w:rsid w:val="005052CE"/>
    <w:rsid w:val="0050725F"/>
    <w:rsid w:val="005418D5"/>
    <w:rsid w:val="00546C91"/>
    <w:rsid w:val="005521D6"/>
    <w:rsid w:val="00552CAC"/>
    <w:rsid w:val="00553E56"/>
    <w:rsid w:val="0055603E"/>
    <w:rsid w:val="00556112"/>
    <w:rsid w:val="005631C8"/>
    <w:rsid w:val="00574AF3"/>
    <w:rsid w:val="00590C63"/>
    <w:rsid w:val="00592AB8"/>
    <w:rsid w:val="005975C9"/>
    <w:rsid w:val="005A13CC"/>
    <w:rsid w:val="005A671A"/>
    <w:rsid w:val="005B0F92"/>
    <w:rsid w:val="005C6B93"/>
    <w:rsid w:val="005D03FC"/>
    <w:rsid w:val="005D0CCF"/>
    <w:rsid w:val="005D46D2"/>
    <w:rsid w:val="005D5E8E"/>
    <w:rsid w:val="005D7268"/>
    <w:rsid w:val="005E0DA4"/>
    <w:rsid w:val="005E2877"/>
    <w:rsid w:val="005F1C87"/>
    <w:rsid w:val="005F3401"/>
    <w:rsid w:val="005F42B0"/>
    <w:rsid w:val="005F6ED0"/>
    <w:rsid w:val="006001BE"/>
    <w:rsid w:val="0060467F"/>
    <w:rsid w:val="00606B8D"/>
    <w:rsid w:val="00637554"/>
    <w:rsid w:val="006720DF"/>
    <w:rsid w:val="00673E26"/>
    <w:rsid w:val="006753BF"/>
    <w:rsid w:val="00675A5C"/>
    <w:rsid w:val="0068259A"/>
    <w:rsid w:val="006907A1"/>
    <w:rsid w:val="00690F5A"/>
    <w:rsid w:val="006A656F"/>
    <w:rsid w:val="006B1916"/>
    <w:rsid w:val="006B4E0F"/>
    <w:rsid w:val="006C12EC"/>
    <w:rsid w:val="006C6ECF"/>
    <w:rsid w:val="006D6657"/>
    <w:rsid w:val="006E1BAC"/>
    <w:rsid w:val="006E24F3"/>
    <w:rsid w:val="00706BEC"/>
    <w:rsid w:val="0070706F"/>
    <w:rsid w:val="007205F6"/>
    <w:rsid w:val="00722BEB"/>
    <w:rsid w:val="00726A1B"/>
    <w:rsid w:val="00736663"/>
    <w:rsid w:val="00742AB4"/>
    <w:rsid w:val="00745EB8"/>
    <w:rsid w:val="0075401A"/>
    <w:rsid w:val="00761B26"/>
    <w:rsid w:val="00762D07"/>
    <w:rsid w:val="00765866"/>
    <w:rsid w:val="007906DB"/>
    <w:rsid w:val="007B2905"/>
    <w:rsid w:val="007C25D0"/>
    <w:rsid w:val="007E0162"/>
    <w:rsid w:val="007E3838"/>
    <w:rsid w:val="007E78AB"/>
    <w:rsid w:val="007F681F"/>
    <w:rsid w:val="00801A46"/>
    <w:rsid w:val="00811AA9"/>
    <w:rsid w:val="00812BB1"/>
    <w:rsid w:val="008153E5"/>
    <w:rsid w:val="00825714"/>
    <w:rsid w:val="00830E69"/>
    <w:rsid w:val="00831A0E"/>
    <w:rsid w:val="00833646"/>
    <w:rsid w:val="00835812"/>
    <w:rsid w:val="00844BA2"/>
    <w:rsid w:val="00862384"/>
    <w:rsid w:val="008626C2"/>
    <w:rsid w:val="008642E3"/>
    <w:rsid w:val="008715F8"/>
    <w:rsid w:val="0087620F"/>
    <w:rsid w:val="0087675A"/>
    <w:rsid w:val="00876FE6"/>
    <w:rsid w:val="0088183D"/>
    <w:rsid w:val="008917A3"/>
    <w:rsid w:val="00894959"/>
    <w:rsid w:val="00897792"/>
    <w:rsid w:val="008A79EF"/>
    <w:rsid w:val="008B3366"/>
    <w:rsid w:val="008B4B03"/>
    <w:rsid w:val="008C0403"/>
    <w:rsid w:val="008E0DD9"/>
    <w:rsid w:val="008E1EDC"/>
    <w:rsid w:val="008E7498"/>
    <w:rsid w:val="008F03BA"/>
    <w:rsid w:val="008F3BF0"/>
    <w:rsid w:val="009030FD"/>
    <w:rsid w:val="00906DEA"/>
    <w:rsid w:val="00911CF9"/>
    <w:rsid w:val="009149F7"/>
    <w:rsid w:val="00935DE6"/>
    <w:rsid w:val="009360C0"/>
    <w:rsid w:val="0095155F"/>
    <w:rsid w:val="0095548B"/>
    <w:rsid w:val="009666FE"/>
    <w:rsid w:val="00971505"/>
    <w:rsid w:val="00973074"/>
    <w:rsid w:val="00973E08"/>
    <w:rsid w:val="00975B63"/>
    <w:rsid w:val="00981100"/>
    <w:rsid w:val="00995C16"/>
    <w:rsid w:val="00996849"/>
    <w:rsid w:val="009A09C0"/>
    <w:rsid w:val="009A5A8D"/>
    <w:rsid w:val="009B64CE"/>
    <w:rsid w:val="009D0093"/>
    <w:rsid w:val="009D7D5D"/>
    <w:rsid w:val="009E1522"/>
    <w:rsid w:val="009E5A48"/>
    <w:rsid w:val="009F5CB6"/>
    <w:rsid w:val="00A065C5"/>
    <w:rsid w:val="00A11078"/>
    <w:rsid w:val="00A15D03"/>
    <w:rsid w:val="00A17723"/>
    <w:rsid w:val="00A253B3"/>
    <w:rsid w:val="00A313B0"/>
    <w:rsid w:val="00A3253A"/>
    <w:rsid w:val="00A4568C"/>
    <w:rsid w:val="00AA4501"/>
    <w:rsid w:val="00AA465F"/>
    <w:rsid w:val="00AB69DC"/>
    <w:rsid w:val="00AC607A"/>
    <w:rsid w:val="00AC735B"/>
    <w:rsid w:val="00AD01C9"/>
    <w:rsid w:val="00AD6108"/>
    <w:rsid w:val="00AD6E7A"/>
    <w:rsid w:val="00AF68A2"/>
    <w:rsid w:val="00B00F8A"/>
    <w:rsid w:val="00B02167"/>
    <w:rsid w:val="00B07E8F"/>
    <w:rsid w:val="00B21448"/>
    <w:rsid w:val="00B24148"/>
    <w:rsid w:val="00B314BA"/>
    <w:rsid w:val="00B5160F"/>
    <w:rsid w:val="00B55E9E"/>
    <w:rsid w:val="00B57795"/>
    <w:rsid w:val="00B652ED"/>
    <w:rsid w:val="00B66D0E"/>
    <w:rsid w:val="00B66F98"/>
    <w:rsid w:val="00B676EF"/>
    <w:rsid w:val="00B751CF"/>
    <w:rsid w:val="00B75D9A"/>
    <w:rsid w:val="00B75DBD"/>
    <w:rsid w:val="00B84FA7"/>
    <w:rsid w:val="00B9429D"/>
    <w:rsid w:val="00B969C7"/>
    <w:rsid w:val="00BA141C"/>
    <w:rsid w:val="00BA7C77"/>
    <w:rsid w:val="00BB1464"/>
    <w:rsid w:val="00BB2211"/>
    <w:rsid w:val="00BB5EE4"/>
    <w:rsid w:val="00BC156E"/>
    <w:rsid w:val="00BC18F4"/>
    <w:rsid w:val="00BC55B2"/>
    <w:rsid w:val="00BE4386"/>
    <w:rsid w:val="00C11721"/>
    <w:rsid w:val="00C13F5F"/>
    <w:rsid w:val="00C173CD"/>
    <w:rsid w:val="00C305CA"/>
    <w:rsid w:val="00C33C7B"/>
    <w:rsid w:val="00C3606F"/>
    <w:rsid w:val="00C46267"/>
    <w:rsid w:val="00C47A34"/>
    <w:rsid w:val="00C5206F"/>
    <w:rsid w:val="00C52AE4"/>
    <w:rsid w:val="00C534C4"/>
    <w:rsid w:val="00C65682"/>
    <w:rsid w:val="00C726B3"/>
    <w:rsid w:val="00C73E20"/>
    <w:rsid w:val="00C75ADD"/>
    <w:rsid w:val="00C770F9"/>
    <w:rsid w:val="00C82608"/>
    <w:rsid w:val="00C96E4C"/>
    <w:rsid w:val="00CA386A"/>
    <w:rsid w:val="00CA72E4"/>
    <w:rsid w:val="00CC1ED1"/>
    <w:rsid w:val="00CC7F9D"/>
    <w:rsid w:val="00CD243D"/>
    <w:rsid w:val="00CE3AE2"/>
    <w:rsid w:val="00CE7420"/>
    <w:rsid w:val="00CF06AE"/>
    <w:rsid w:val="00CF44DF"/>
    <w:rsid w:val="00D03480"/>
    <w:rsid w:val="00D140B8"/>
    <w:rsid w:val="00D17CD1"/>
    <w:rsid w:val="00D301BC"/>
    <w:rsid w:val="00D40913"/>
    <w:rsid w:val="00D44DE4"/>
    <w:rsid w:val="00D54BB4"/>
    <w:rsid w:val="00D74DCC"/>
    <w:rsid w:val="00D86ADA"/>
    <w:rsid w:val="00D87085"/>
    <w:rsid w:val="00DA399F"/>
    <w:rsid w:val="00DA4967"/>
    <w:rsid w:val="00DA58E3"/>
    <w:rsid w:val="00DA7A1A"/>
    <w:rsid w:val="00DC172D"/>
    <w:rsid w:val="00DC5390"/>
    <w:rsid w:val="00DC5C78"/>
    <w:rsid w:val="00DD0F3C"/>
    <w:rsid w:val="00DD447E"/>
    <w:rsid w:val="00DE67A7"/>
    <w:rsid w:val="00DF0D7B"/>
    <w:rsid w:val="00DF4389"/>
    <w:rsid w:val="00E11897"/>
    <w:rsid w:val="00E24704"/>
    <w:rsid w:val="00E509E6"/>
    <w:rsid w:val="00E7355F"/>
    <w:rsid w:val="00E753F8"/>
    <w:rsid w:val="00E763E3"/>
    <w:rsid w:val="00E77502"/>
    <w:rsid w:val="00E8384D"/>
    <w:rsid w:val="00E85095"/>
    <w:rsid w:val="00E85DA2"/>
    <w:rsid w:val="00E85F20"/>
    <w:rsid w:val="00E91735"/>
    <w:rsid w:val="00E92FFD"/>
    <w:rsid w:val="00EA4496"/>
    <w:rsid w:val="00EA6AEC"/>
    <w:rsid w:val="00EB0109"/>
    <w:rsid w:val="00EB1D30"/>
    <w:rsid w:val="00EB281F"/>
    <w:rsid w:val="00EC1AA8"/>
    <w:rsid w:val="00EC39EE"/>
    <w:rsid w:val="00ED0FCF"/>
    <w:rsid w:val="00ED1619"/>
    <w:rsid w:val="00ED28E1"/>
    <w:rsid w:val="00ED50A3"/>
    <w:rsid w:val="00EE6520"/>
    <w:rsid w:val="00EF57A7"/>
    <w:rsid w:val="00F14239"/>
    <w:rsid w:val="00F217F4"/>
    <w:rsid w:val="00F2181C"/>
    <w:rsid w:val="00F23278"/>
    <w:rsid w:val="00F23C3A"/>
    <w:rsid w:val="00F3076F"/>
    <w:rsid w:val="00F36E1B"/>
    <w:rsid w:val="00F45A70"/>
    <w:rsid w:val="00F47E35"/>
    <w:rsid w:val="00F618DA"/>
    <w:rsid w:val="00F72A1C"/>
    <w:rsid w:val="00F81C9F"/>
    <w:rsid w:val="00F830A3"/>
    <w:rsid w:val="00F84BEB"/>
    <w:rsid w:val="00F853A0"/>
    <w:rsid w:val="00F8633B"/>
    <w:rsid w:val="00F931C0"/>
    <w:rsid w:val="00F95384"/>
    <w:rsid w:val="00FA582E"/>
    <w:rsid w:val="00FB0F8A"/>
    <w:rsid w:val="00FC2E94"/>
    <w:rsid w:val="00FC3522"/>
    <w:rsid w:val="00FC3587"/>
    <w:rsid w:val="00FC442F"/>
    <w:rsid w:val="00FC78B1"/>
    <w:rsid w:val="00FD6718"/>
    <w:rsid w:val="00FF583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61E"/>
  </w:style>
  <w:style w:type="paragraph" w:styleId="Heading1">
    <w:name w:val="heading 1"/>
    <w:basedOn w:val="Normal"/>
    <w:link w:val="Heading1Char"/>
    <w:uiPriority w:val="9"/>
    <w:qFormat/>
    <w:rsid w:val="004A786F"/>
    <w:pPr>
      <w:spacing w:before="100" w:beforeAutospacing="1" w:after="100" w:afterAutospacing="1" w:line="240" w:lineRule="auto"/>
      <w:jc w:val="center"/>
      <w:outlineLvl w:val="0"/>
    </w:pPr>
    <w:rPr>
      <w:rFonts w:ascii="Arial" w:eastAsia="Times New Roman" w:hAnsi="Arial" w:cs="Arial"/>
      <w:b/>
      <w:bCs/>
      <w:color w:val="D85F05"/>
      <w:kern w:val="36"/>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786F"/>
    <w:rPr>
      <w:rFonts w:ascii="Arial" w:eastAsia="Times New Roman" w:hAnsi="Arial" w:cs="Arial"/>
      <w:b/>
      <w:bCs/>
      <w:color w:val="D85F05"/>
      <w:kern w:val="36"/>
      <w:sz w:val="32"/>
      <w:szCs w:val="32"/>
    </w:rPr>
  </w:style>
  <w:style w:type="paragraph" w:styleId="NormalWeb">
    <w:name w:val="Normal (Web)"/>
    <w:basedOn w:val="Normal"/>
    <w:uiPriority w:val="99"/>
    <w:semiHidden/>
    <w:unhideWhenUsed/>
    <w:rsid w:val="004A786F"/>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A786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A786F"/>
    <w:rPr>
      <w:rFonts w:ascii="Tahoma" w:hAnsi="Tahoma" w:cs="Tahoma"/>
      <w:sz w:val="16"/>
      <w:szCs w:val="16"/>
    </w:rPr>
  </w:style>
  <w:style w:type="paragraph" w:styleId="Header">
    <w:name w:val="header"/>
    <w:basedOn w:val="Normal"/>
    <w:link w:val="HeaderChar"/>
    <w:uiPriority w:val="99"/>
    <w:semiHidden/>
    <w:unhideWhenUsed/>
    <w:rsid w:val="0034717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47173"/>
  </w:style>
  <w:style w:type="paragraph" w:styleId="Footer">
    <w:name w:val="footer"/>
    <w:basedOn w:val="Normal"/>
    <w:link w:val="FooterChar"/>
    <w:uiPriority w:val="99"/>
    <w:unhideWhenUsed/>
    <w:rsid w:val="003471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34717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o.org/DOCREP/006/AD232E/AD232E18.htm#TopOfPage"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o.org/DOCREP/006/AD232E/AD232E17.htm" TargetMode="External"/><Relationship Id="rId11" Type="http://schemas.openxmlformats.org/officeDocument/2006/relationships/image" Target="media/image3.gif"/><Relationship Id="rId5" Type="http://schemas.openxmlformats.org/officeDocument/2006/relationships/endnotes" Target="endnotes.xml"/><Relationship Id="rId10" Type="http://schemas.openxmlformats.org/officeDocument/2006/relationships/hyperlink" Target="http://www.fao.org/DOCREP/006/AD232E/AD232E19.htm" TargetMode="Externa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556</Words>
  <Characters>3170</Characters>
  <Application>Microsoft Office Word</Application>
  <DocSecurity>0</DocSecurity>
  <Lines>26</Lines>
  <Paragraphs>7</Paragraphs>
  <ScaleCrop>false</ScaleCrop>
  <Company>AgriSite</Company>
  <LinksUpToDate>false</LinksUpToDate>
  <CharactersWithSpaces>3719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DrShaabanian</dc:creator>
  <cp:keywords/>
  <dc:description/>
  <cp:lastModifiedBy>MRT</cp:lastModifiedBy>
  <cp:revision>3</cp:revision>
  <dcterms:created xsi:type="dcterms:W3CDTF">2011-10-20T16:37:00Z</dcterms:created>
  <dcterms:modified xsi:type="dcterms:W3CDTF">2011-10-20T19:26:00Z</dcterms:modified>
</cp:coreProperties>
</file>